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3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2022 – 2026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ПОСТАНОВЛЯЕТ: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4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2022 – 2026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2026 годы»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следующие изменения:</w:t>
      </w:r>
      <w:r/>
    </w:p>
    <w:p>
      <w:pPr>
        <w:pStyle w:val="957"/>
        <w:numPr>
          <w:ilvl w:val="1"/>
          <w:numId w:val="27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1 «Паспорт государственной программы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2026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</w:t>
      </w:r>
      <w:r/>
    </w:p>
    <w:p>
      <w:pPr>
        <w:pStyle w:val="957"/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том числе по 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/>
    </w:p>
    <w:tbl>
      <w:tblPr>
        <w:tblStyle w:val="948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>
        <w:trPr/>
        <w:tc>
          <w:tcPr>
            <w:tcW w:w="1168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«Ресурсное обе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383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реализации государственной программы – 79157,7 тыс. рублей, в том числе: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областного бюджета – 67449,9 тыс. рублей, в том числе: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2022 год – 10227,9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2023 год – 13750,7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14522,9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14425,1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14523,3 тыс. рублей.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федерального бюджета – 9457,8 тыс. рублей, в том числе: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2734,8 тыс. рублей.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6723,0 тыс. рублей.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муниципального бюджета – 2250,0 тыс. рублей, в том числе: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2023 год – 682,0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684,0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684,0 тыс. рублей;</w:t>
            </w:r>
            <w:r/>
          </w:p>
          <w:p>
            <w:pPr>
              <w:pStyle w:val="95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200,0 тыс. рублей.».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 «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/>
    </w:p>
    <w:tbl>
      <w:tblPr>
        <w:tblStyle w:val="948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>
        <w:trPr/>
        <w:tc>
          <w:tcPr>
            <w:tcW w:w="1168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«Ожидаемые результаты реализации государственной программы</w:t>
            </w:r>
            <w:r>
              <w:rPr>
                <w:highlight w:val="white"/>
              </w:rPr>
            </w:r>
          </w:p>
        </w:tc>
        <w:tc>
          <w:tcPr>
            <w:tcW w:w="383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1) Подготовка к определению кадастровой стоимости и определение кадастровой стоимости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79863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 земельных участков, расположенных на территории области, в том числе: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земельных участков в составе земель лесного фонда;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земельных участков в составе земель особо охраняемых территорий и объектов;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земельных участков в составе земель сельскохозяйственного назначения;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земельных участков в составе земель населенных пунктов.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2) Подготовка к определению кадастровой стоимости и определение кадастровой стоимости 121710 объектов недвижимости, 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расположенных на территории области, в том числе: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зданий,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помещений,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сооружений,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объектов незавершенного строительства,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-мест.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3) Выполнение комплексных кадастровых работ в отношении 24593 земельных участков и объектов недвижимости, расположенных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br/>
              <w:t xml:space="preserve">в кадастровых кварталах на территории области;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4) Внесение 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br/>
              <w:t xml:space="preserve">об административных границах области, в том числе: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 xml:space="preserve">- 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границах 5 муниципальных образований области;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о границах 62 населенных пунктов;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о границах 522 территориальных зон.</w:t>
            </w:r>
            <w:r>
              <w:rPr>
                <w:highlight w:val="white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5) Изготовление 1 цифрового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ортофотоплана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масштаба 1:2000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территори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области, перспективной с точки зрения инвестиционной привлекательности.».</w:t>
            </w:r>
            <w:r>
              <w:rPr>
                <w:highlight w:val="white"/>
              </w:rPr>
            </w:r>
          </w:p>
        </w:tc>
      </w:tr>
    </w:tbl>
    <w:p>
      <w:pPr>
        <w:pStyle w:val="957"/>
        <w:numPr>
          <w:ilvl w:val="1"/>
          <w:numId w:val="27"/>
        </w:numPr>
        <w:ind w:left="0" w:firstLine="709"/>
        <w:jc w:val="both"/>
        <w:spacing w:before="45"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двадцать второй – двадцать девятый раздела 5 «Прогноз конечных результатов государственной программы»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Внесение в ЕГРН сведений о граница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селенных пунктов области, в том числе: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2023 году – о границах 7 населенных пунктов области;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2024 году – о границах 19 населенных пунктов области;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2025 году – о границах 18 населенных пунктов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2026 году – о границах 18 населенных пунктов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 Внесение в ЕГРН сведений о границах 522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территориальных зон области, в том числе: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2023 году – о границах 27 территориальных зон области;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2024 году – о границах 103 территориальных зон области;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2025 году – о границах 196 территориальных зон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в 2026 году – о границах 196 территориальных зон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7"/>
        <w:contextualSpacing w:val="0"/>
        <w:ind w:left="0" w:firstLine="709"/>
        <w:jc w:val="both"/>
        <w:spacing w:after="0" w:line="240" w:lineRule="auto"/>
        <w:tabs>
          <w:tab w:val="left" w:pos="1276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таблицу 2 «Мероприятия государственной программы области «Развитие земельно-имущественного комплекса области» на 2022 – 2026 годы» раздела 7 «Система программных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  <w:br/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7"/>
        <w:contextualSpacing w:val="0"/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7"/>
        <w:contextualSpacing w:val="0"/>
        <w:ind w:left="0" w:firstLine="709"/>
        <w:jc w:val="right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«Таблица 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7"/>
        <w:contextualSpacing w:val="0"/>
        <w:ind w:left="0" w:firstLine="709"/>
        <w:jc w:val="right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7"/>
        <w:contextualSpacing w:val="0"/>
        <w:ind w:left="0" w:firstLine="709"/>
        <w:jc w:val="center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программы области «Развитие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7"/>
        <w:contextualSpacing w:val="0"/>
        <w:ind w:left="0" w:firstLine="709"/>
        <w:jc w:val="center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земельно-имущественного комплекса области»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2022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2026 годы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4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1809"/>
        <w:gridCol w:w="1877"/>
        <w:gridCol w:w="992"/>
        <w:gridCol w:w="3118"/>
        <w:gridCol w:w="2551"/>
        <w:gridCol w:w="3650"/>
      </w:tblGrid>
      <w:tr>
        <w:trPr/>
        <w:tc>
          <w:tcPr>
            <w:tcW w:w="601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 w:firstLine="0"/>
              <w:jc w:val="center"/>
              <w:spacing w:after="0" w:afterAutospacing="0"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 w:firstLine="0"/>
              <w:jc w:val="center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283" w:right="-283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в количественном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/>
              <w:jc w:val="center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283" w:right="-28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нереализации государственной программы, основного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283" w:right="-28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pStyle w:val="958"/>
              <w:contextualSpacing w:val="0"/>
              <w:ind w:left="-283" w:right="-283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(индикатором)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8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земельно-имущественного комплекса области» 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8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«Актуализация кадастровой стоимости земельных участков и объектов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13997" w:type="dxa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«Подготовка к проведению и проведение государственной кадастровой оценки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113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области, ОГБУ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 на территории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работ по определению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кадастровой стоимости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79863 земельных участков в составе земель населенных пунктов, земель промышленности, энергетики, транспорта, связи, радиовещан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фонда, земель особо охраняемых территорий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требований федерального законодательства,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поступлений в областной бюджет и бюджеты муниципальных образований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достоверной кадастровой информации об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участках, расположенных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Доля земельных участков и объектов недвижимости на территории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проведена подготовка к определению кадастровой стоимости,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земельных участков 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запланировано проведение подготовки к 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текущем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и объектов недвижимости на территории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которым проведена кадастровая оценка,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земельных участков 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ind w:left="-57" w:right="-57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запланировано проведение государственной кадастровой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определению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в отношении 121710 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работ по определению кадастровой стоимости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121710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 и в отношении 79863 земельных участков в составе земель населенных пунктов, земель промышленности, энергетики, транспорта,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объектов, земель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686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работ по 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121710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помещений, сооружений, объектов незавершенного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 и 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Подготовка к проведению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помещений, сооружений,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left"/>
              <w:spacing w:line="216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8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«Формирование достоверной кадастровой информации об административных границах, земельных участках и объектах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13997" w:type="dxa"/>
            <w:textDirection w:val="lrTb"/>
            <w:noWrap w:val="false"/>
          </w:tcPr>
          <w:p>
            <w:pPr>
              <w:jc w:val="center"/>
              <w:spacing w:line="21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комплексных кадастровых работ в границах кадастровых кварталов,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79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ind w:right="-153"/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left="0" w:right="-215" w:firstLine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бюджетам муниципальных образований области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0" w:right="-215" w:firstLine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0" w:right="-215" w:firstLine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выполнение </w:t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области; 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901 объекта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расположенных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right="-102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Недополучение налоговых поступлений в 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области, снижение объема достоверной кадастровой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spacing w:line="21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недвижимости на территории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которых проведены комплексные кадастровые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которых запланировано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79"/>
        </w:trPr>
        <w:tc>
          <w:tcPr>
            <w:tcW w:w="601" w:type="dxa"/>
            <w:vMerge w:val="continue"/>
            <w:textDirection w:val="lrTb"/>
            <w:noWrap w:val="false"/>
          </w:tcPr>
          <w:p>
            <w:pPr>
              <w:ind w:right="-153"/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pPr>
              <w:ind w:left="0" w:right="-215" w:firstLine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281 объекта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right="-102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75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left="0" w:right="-215" w:firstLine="0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объектах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земельных участках, расположенных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кадастровых работ в текущем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2255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2370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13997" w:type="dxa"/>
            <w:textDirection w:val="lrTb"/>
            <w:noWrap w:val="false"/>
          </w:tcPr>
          <w:p>
            <w:pPr>
              <w:ind w:right="-107"/>
              <w:jc w:val="center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ind w:left="-57" w:right="-130" w:firstLine="0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2089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на территории области</w:t>
            </w:r>
            <w:r>
              <w:rPr>
                <w:rFonts w:ascii="Times New Roman" w:hAnsi="Times New Roman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right="-102"/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Недополучение налоговых поступлений в 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бюджеты муниципальных образований области, снижение объема достоверной кадастровой информации об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земельных участках, расположенных 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объектов недвижимости </w:t>
              <w:br/>
              <w:t xml:space="preserve">на территории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в отношении которых проведены комплексные кадастровые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которых запланировано проведение комплексных кадастровых работ в текущем году.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16697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расположенных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на территории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13997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right="-107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границах муниципальных образований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имуществом области; муниципальные образования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ind w:right="-142"/>
              <w:spacing w:line="216" w:lineRule="auto"/>
              <w:tabs>
                <w:tab w:val="left" w:pos="1418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образований области, сведения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right="-142"/>
              <w:spacing w:line="216" w:lineRule="auto"/>
              <w:tabs>
                <w:tab w:val="left" w:pos="1418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границах которых внесены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right="-142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ЕГРН.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карты-плана границы 1 муниципального образования области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2 муниципальных образований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right="-107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границах населенных пунктов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jc w:val="left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области; муниципальные образования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7 населенных пунктов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ind w:right="-142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населенных пунктов области, сведения о границах которых внесены в ЕГРН.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19 населенных пунктов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18 населенных пунктов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18 населенных пунктов области</w:t>
            </w:r>
            <w:r>
              <w:rPr>
                <w:rFonts w:ascii="Times New Roman" w:hAnsi="Times New Roman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left="-57" w:right="-164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ind w:right="-57"/>
              <w:jc w:val="left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области;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27 территориальных 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Неисполнение требований федерального законодательства, снижение объема достоверной кадастровой информации об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ind w:right="-142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территориальных зон области,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границах которых внесены в ЕГРН.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034"/>
        </w:trPr>
        <w:tc>
          <w:tcPr>
            <w:tcW w:w="601" w:type="dxa"/>
            <w:vMerge w:val="continue"/>
            <w:textDirection w:val="lrTb"/>
            <w:noWrap w:val="false"/>
          </w:tcPr>
          <w:p>
            <w:pPr>
              <w:jc w:val="both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pPr>
              <w:ind w:right="-107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pPr>
              <w:ind w:right="-57"/>
              <w:jc w:val="left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right="-170"/>
              <w:spacing w:line="216" w:lineRule="auto"/>
              <w:rPr>
                <w:rFonts w:ascii="Times New Roman" w:hAnsi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/>
            <w:r/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pPr>
              <w:ind w:right="-142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13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 w:right="-57" w:firstLine="0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right="-79"/>
              <w:spacing w:line="216" w:lineRule="auto"/>
              <w:tabs>
                <w:tab w:val="left" w:pos="14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right="-170"/>
              <w:spacing w:after="0" w:afterAutospacing="0" w:line="216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left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границах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8"/>
              <w:contextualSpacing w:val="0"/>
              <w:ind w:left="-57"/>
              <w:jc w:val="left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right="-170"/>
              <w:spacing w:after="0" w:afterAutospacing="0" w:line="216" w:lineRule="auto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карт-планов границ 196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3650" w:type="dxa"/>
            <w:vMerge w:val="continue"/>
            <w:textDirection w:val="lrTb"/>
            <w:noWrap w:val="false"/>
          </w:tcPr>
          <w:p>
            <w:r/>
          </w:p>
        </w:tc>
      </w:tr>
      <w:tr>
        <w:trPr>
          <w:trHeight w:val="0"/>
        </w:trPr>
        <w:tc>
          <w:tcPr>
            <w:tcW w:w="601" w:type="dxa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6"/>
            <w:tcW w:w="1399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0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ind w:right="-57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цифровых ортофотопланов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1:2000 территорий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7" w:type="dxa"/>
            <w:vMerge w:val="restart"/>
            <w:textDirection w:val="lrTb"/>
            <w:noWrap w:val="false"/>
          </w:tcPr>
          <w:p>
            <w:pPr>
              <w:ind w:left="-57" w:right="-113"/>
              <w:spacing w:line="216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1 цифрового ортофотоплана масштаба 1:2000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картографической основы, увеличение количества неточной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50" w:type="dxa"/>
            <w:vMerge w:val="restart"/>
            <w:textDirection w:val="lrTb"/>
            <w:noWrap w:val="false"/>
          </w:tcPr>
          <w:p>
            <w:pPr>
              <w:jc w:val="left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цифровых ортофотопланов масштаба 1:2000 территорий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1.6.</w:t>
        <w:tab/>
      </w:r>
      <w:r>
        <w:rPr>
          <w:rFonts w:ascii="Times New Roman" w:hAnsi="Times New Roman" w:cs="Times New Roman"/>
          <w:sz w:val="28"/>
        </w:rPr>
        <w:t xml:space="preserve">Раздел 10 «Ресурсное обеспечение реализации государственной программы» изложить в следующей редакции: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4"/>
        </w:rPr>
        <w:outlineLvl w:val="1"/>
      </w:pPr>
      <w:r>
        <w:rPr>
          <w:rFonts w:ascii="Times New Roman" w:hAnsi="Times New Roman" w:cs="Times New Roman"/>
          <w:b w:val="0"/>
          <w:sz w:val="24"/>
        </w:rPr>
      </w:r>
      <w:r/>
    </w:p>
    <w:p>
      <w:pPr>
        <w:pStyle w:val="956"/>
        <w:jc w:val="center"/>
        <w:rPr>
          <w:rFonts w:ascii="Times New Roman" w:hAnsi="Times New Roman" w:cs="Times New Roman"/>
          <w:b w:val="0"/>
          <w:sz w:val="28"/>
        </w:rPr>
        <w:outlineLvl w:val="1"/>
      </w:pPr>
      <w:r>
        <w:rPr>
          <w:rFonts w:ascii="Times New Roman" w:hAnsi="Times New Roman" w:cs="Times New Roman"/>
          <w:b w:val="0"/>
          <w:sz w:val="28"/>
        </w:rPr>
        <w:t xml:space="preserve">«10. Ресурсное обеспечение реализации</w:t>
      </w:r>
      <w:r/>
    </w:p>
    <w:p>
      <w:pPr>
        <w:pStyle w:val="956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государственной программы</w:t>
      </w:r>
      <w:r/>
    </w:p>
    <w:p>
      <w:pPr>
        <w:pStyle w:val="9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79157,7 тыс. рублей за счет средств федерального, областного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бюджетов, в том числе:</w:t>
      </w:r>
      <w:r/>
    </w:p>
    <w:p>
      <w:pPr>
        <w:pStyle w:val="9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областного бюджета – 67449,9 тыс. рублей, в том числе по годам: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2022 год – 10227,9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– 13750,7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2024 год – 14522,9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14425,1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– 14523,3 тыс. рублей.</w:t>
      </w:r>
      <w:r/>
    </w:p>
    <w:p>
      <w:pPr>
        <w:pStyle w:val="95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федерального бюджета – 9457,8 тыс. рублей, в том числе:</w:t>
      </w:r>
      <w:r/>
    </w:p>
    <w:p>
      <w:pPr>
        <w:pStyle w:val="956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год – 2734,8 тыс. рублей;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6723,0 тыс. рублей.</w:t>
      </w:r>
      <w:r/>
    </w:p>
    <w:p>
      <w:pPr>
        <w:pStyle w:val="95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муниципальных бюджетов – 2250,0 тыс. рублей, в том числе по годам: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– 682,0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2024 год – 684,0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684,0 тыс. рублей;</w:t>
      </w:r>
      <w:r/>
    </w:p>
    <w:p>
      <w:pPr>
        <w:pStyle w:val="956"/>
        <w:jc w:val="both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– 200,0 тыс. рублей.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привлекаемых источников финансирования с расшифровкой</w:t>
      </w:r>
      <w:r>
        <w:rPr>
          <w:rFonts w:ascii="Times New Roman" w:hAnsi="Times New Roman" w:cs="Times New Roman"/>
          <w:sz w:val="28"/>
        </w:rPr>
        <w:t xml:space="preserve"> по главным распорядителям средств</w:t>
      </w:r>
      <w:r>
        <w:rPr>
          <w:rFonts w:ascii="Times New Roman" w:hAnsi="Times New Roman" w:cs="Times New Roman"/>
          <w:sz w:val="28"/>
        </w:rPr>
        <w:br/>
        <w:t xml:space="preserve">по годам реализации изложены в таблицах 4, 5.</w:t>
      </w:r>
      <w:r/>
    </w:p>
    <w:p>
      <w:pPr>
        <w:pStyle w:val="958"/>
        <w:ind w:firstLine="709"/>
        <w:jc w:val="both"/>
        <w:rPr>
          <w:rFonts w:ascii="Times New Roman" w:hAnsi="Times New Roman" w:cs="Times New Roman"/>
          <w:sz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</w:rPr>
      </w:r>
      <w:r/>
    </w:p>
    <w:p>
      <w:pPr>
        <w:pStyle w:val="958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Ресурсное обеспечение реализации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2022 – 2026 годы за счет средств областного бюджета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Style w:val="948"/>
        <w:tblW w:w="5022" w:type="pct"/>
        <w:tblLayout w:type="fixed"/>
        <w:tblLook w:val="04A0" w:firstRow="1" w:lastRow="0" w:firstColumn="1" w:lastColumn="0" w:noHBand="0" w:noVBand="1"/>
      </w:tblPr>
      <w:tblGrid>
        <w:gridCol w:w="815"/>
        <w:gridCol w:w="2979"/>
        <w:gridCol w:w="2412"/>
        <w:gridCol w:w="858"/>
        <w:gridCol w:w="852"/>
        <w:gridCol w:w="1265"/>
        <w:gridCol w:w="1063"/>
        <w:gridCol w:w="912"/>
        <w:gridCol w:w="912"/>
        <w:gridCol w:w="912"/>
        <w:gridCol w:w="912"/>
        <w:gridCol w:w="959"/>
      </w:tblGrid>
      <w:tr>
        <w:trPr>
          <w:trHeight w:val="0"/>
        </w:trPr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исполнитель, соисполнитель, участники</w:t>
            </w:r>
            <w:r>
              <w:rPr>
                <w:highlight w:val="white"/>
              </w:rPr>
            </w:r>
          </w:p>
        </w:tc>
        <w:tc>
          <w:tcPr>
            <w:gridSpan w:val="3"/>
            <w:tcW w:w="1002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highlight w:val="white"/>
              </w:rPr>
            </w:r>
          </w:p>
        </w:tc>
        <w:tc>
          <w:tcPr>
            <w:gridSpan w:val="6"/>
            <w:tcW w:w="190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Расходы</w:t>
            </w:r>
            <w:r>
              <w:rPr>
                <w:highlight w:val="white"/>
              </w:rPr>
            </w:r>
          </w:p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(тыс. рублей), годы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03" w:type="pct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12" w:type="pct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ГРБС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ЦСР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2022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70" w:right="-153" w:firstLine="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70" w:right="-153" w:firstLine="0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Государственная программа «Развитие земельно-имущественного комплекса области»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010</w:t>
            </w:r>
            <w:r>
              <w:rPr>
                <w:highlight w:val="white"/>
              </w:rPr>
            </w:r>
          </w:p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5000000000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67449,9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13750,7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70" w:right="-153" w:firstLine="0"/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14522,9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14425,1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14523,3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gridSpan w:val="12"/>
            <w:tcW w:w="5000" w:type="pct"/>
            <w:textDirection w:val="lrTb"/>
            <w:noWrap w:val="false"/>
          </w:tcPr>
          <w:p>
            <w:pPr>
              <w:pStyle w:val="958"/>
              <w:ind w:left="-119" w:right="-107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«Актуализация кадастровой стоимости земельных участков и объектов недвижимости»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8"/>
              <w:ind w:right="-109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Основное мероприятие «Подготовка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проведение государственной кадастровой оценки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и объектов недвижимости на территории области»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по управлению государственным имуществом области, ОГБУ «Облкадастр»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ind w:left="-59" w:right="-66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ind w:left="-59" w:right="-66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5000100000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3" w:right="-113"/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Расходы на обеспечение деятельности </w:t>
            </w:r>
            <w:r>
              <w:rPr>
                <w:highlight w:val="white"/>
              </w:rPr>
            </w:r>
          </w:p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ОГБУ «Облкадастр»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ОГБУ «Облкадастр»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5000100590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3" w:right="-113"/>
              <w:jc w:val="center"/>
              <w:spacing w:line="235" w:lineRule="auto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gridSpan w:val="12"/>
            <w:tcW w:w="5000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Формирование достоверной кадастровой информации об административных границах, земельных участках и объектах недвижимости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«Проведение комплексных кадастровых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работ в границах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ind w:right="-106"/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по управлению государственным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имуществом области,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5000200000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кадастровых кварталов, расположенных на территории области»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ind w:right="-106"/>
              <w:spacing w:line="235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муниципальные образования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8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Предоставление субсидии бюджетам муниципальных образований области в целях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софинансирования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расходных обязательств на выполнение комплексных кадастровых работ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Муниципальные образования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5000290100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по управлению государственным имуществом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00000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1389,04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9" w:right="-113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642,04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19" w:right="-113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747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Выполнение комплексных кадастровых работ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по управлению государственным имуществом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5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55110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1389,04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9" w:right="-113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642,04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pStyle w:val="958"/>
              <w:ind w:left="-119" w:right="-113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747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ind w:right="-107"/>
              <w:jc w:val="left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8"/>
              <w:ind w:left="0" w:right="-72" w:firstLine="0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строительства и жилищно-коммунального хозяйства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муниципальные образования области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010</w:t>
            </w:r>
            <w:r>
              <w:rPr>
                <w:highlight w:val="white"/>
              </w:rPr>
            </w:r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5000500000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ind w:right="-107"/>
              <w:jc w:val="left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Внесение в Единый государственный реестр сведений о границах </w:t>
            </w:r>
            <w:r>
              <w:rPr>
                <w:highlight w:val="white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8"/>
              <w:ind w:right="-227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строительства и жилищно-</w:t>
            </w:r>
            <w:r>
              <w:rPr>
                <w:highlight w:val="white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010</w:t>
            </w:r>
            <w:r>
              <w:rPr>
                <w:highlight w:val="white"/>
              </w:rPr>
            </w:r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5000590130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250" w:right="-178"/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03" w:type="pct"/>
            <w:vMerge w:val="restart"/>
            <w:textDirection w:val="lrTb"/>
            <w:noWrap w:val="false"/>
          </w:tcPr>
          <w:p>
            <w:pPr>
              <w:pStyle w:val="958"/>
              <w:jc w:val="left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территориальных зон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2" w:type="pct"/>
            <w:vMerge w:val="restart"/>
            <w:textDirection w:val="lrTb"/>
            <w:noWrap w:val="false"/>
          </w:tcPr>
          <w:p>
            <w:pPr>
              <w:pStyle w:val="958"/>
              <w:jc w:val="left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коммунального хозяйства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муниципальные образования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9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6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8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7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3" w:type="pct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pStyle w:val="958"/>
              <w:ind w:right="-106"/>
              <w:spacing w:line="235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 по управлению государственным имуществом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5000300000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74" w:type="pc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5.1</w:t>
            </w:r>
            <w:r>
              <w:rPr>
                <w:highlight w:val="white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Изготовление цифровых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масштаба 1:2000 территорий области</w:t>
            </w:r>
            <w:r>
              <w:rPr>
                <w:highlight w:val="white"/>
              </w:rPr>
            </w:r>
          </w:p>
        </w:tc>
        <w:tc>
          <w:tcPr>
            <w:tcW w:w="812" w:type="pct"/>
            <w:textDirection w:val="lrTb"/>
            <w:noWrap w:val="false"/>
          </w:tcPr>
          <w:p>
            <w:pPr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по управлению государственным имуществом области</w:t>
            </w:r>
            <w:r>
              <w:rPr>
                <w:highlight w:val="white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018</w:t>
            </w:r>
            <w:r>
              <w:rPr>
                <w:highlight w:val="white"/>
              </w:rPr>
            </w:r>
          </w:p>
        </w:tc>
        <w:tc>
          <w:tcPr>
            <w:tcW w:w="287" w:type="pc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0113</w:t>
            </w:r>
            <w:r>
              <w:rPr>
                <w:highlight w:val="white"/>
              </w:rPr>
            </w:r>
          </w:p>
        </w:tc>
        <w:tc>
          <w:tcPr>
            <w:tcW w:w="426" w:type="pct"/>
            <w:textDirection w:val="lrTb"/>
            <w:noWrap w:val="false"/>
          </w:tcPr>
          <w:p>
            <w:pPr>
              <w:pStyle w:val="958"/>
              <w:ind w:left="-119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5000390120</w:t>
            </w:r>
            <w:r>
              <w:rPr>
                <w:highlight w:val="white"/>
              </w:rPr>
            </w:r>
          </w:p>
        </w:tc>
        <w:tc>
          <w:tcPr>
            <w:tcW w:w="358" w:type="pct"/>
            <w:textDirection w:val="lrTb"/>
            <w:noWrap w:val="false"/>
          </w:tcPr>
          <w:p>
            <w:pPr>
              <w:ind w:left="-118" w:right="-17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ind w:left="-118"/>
              <w:jc w:val="center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5000,00</w:t>
            </w:r>
            <w:r>
              <w:rPr>
                <w:highlight w:val="white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Таблица 5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/>
      <w:bookmarkStart w:id="0" w:name="Par4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средств областного бюджета и прогнозная оценка привлекаемых </w:t>
      </w:r>
      <w:r/>
    </w:p>
    <w:p>
      <w:pPr>
        <w:pStyle w:val="958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реализацию ее целей средств федерального бюджета, бюджетов муниципальных образований области, внебюджетных источников государственной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2022 – 2026 годы</w:t>
      </w:r>
      <w:r/>
    </w:p>
    <w:p>
      <w:pPr>
        <w:pStyle w:val="958"/>
        <w:ind w:firstLine="540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</w:r>
      <w:r>
        <w:rPr>
          <w:sz w:val="36"/>
          <w:szCs w:val="32"/>
        </w:rPr>
      </w:r>
    </w:p>
    <w:tbl>
      <w:tblPr>
        <w:tblStyle w:val="948"/>
        <w:tblW w:w="5000" w:type="pct"/>
        <w:tblLook w:val="04A0" w:firstRow="1" w:lastRow="0" w:firstColumn="1" w:lastColumn="0" w:noHBand="0" w:noVBand="1"/>
      </w:tblPr>
      <w:tblGrid>
        <w:gridCol w:w="695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>
        <w:trPr>
          <w:trHeight w:val="42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Наименование государственной программы, подпрограммы, основного мероприятия, мероприятия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Источники ресурсного обеспечения</w:t>
            </w:r>
            <w:r>
              <w:rPr>
                <w:highlight w:val="white"/>
              </w:rPr>
            </w:r>
          </w:p>
        </w:tc>
        <w:tc>
          <w:tcPr>
            <w:gridSpan w:val="6"/>
            <w:tcW w:w="7803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Оценка расходов (тыс. рублей), годы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2022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2023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2025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2026</w:t>
            </w:r>
            <w:r>
              <w:rPr>
                <w:highlight w:val="white"/>
              </w:rPr>
            </w:r>
          </w:p>
        </w:tc>
      </w:tr>
      <w:tr>
        <w:trPr>
          <w:trHeight w:val="60"/>
        </w:trPr>
        <w:tc>
          <w:tcPr>
            <w:tcW w:w="695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</w:tr>
      <w:tr>
        <w:trPr>
          <w:trHeight w:val="6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Государственная программа «Развитие земельно-имущественного комплекса области»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79157,7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14432,7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17941,7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21832,1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1472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67449,9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13750,7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14522,9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14425,1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14523,3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spacing w:after="17" w:afterAutospacing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9457,8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2734,8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6723,0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2250,0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682,0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200,0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gridSpan w:val="9"/>
            <w:tcW w:w="1478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Задача «Актуализация кадастровой стоимости земельных участков и объектов недвижимости»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58"/>
              <w:spacing w:after="17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Основное мероприятие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1.1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58"/>
              <w:spacing w:after="17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ОГБУ «Облкадастр»</w:t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54693,82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11537,3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13655,86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11762,9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7509,86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9"/>
            <w:tcW w:w="14786" w:type="dxa"/>
            <w:textDirection w:val="lrTb"/>
            <w:noWrap w:val="false"/>
          </w:tcPr>
          <w:p>
            <w:pPr>
              <w:ind w:right="-314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Задача «</w:t>
            </w:r>
            <w:r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  <w:t xml:space="preserve">Формирование достоверной кадастровой информации об административных границах, земельных участках и объектах недвижимости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</w:p>
        </w:tc>
      </w:tr>
      <w:tr>
        <w:trPr>
          <w:trHeight w:val="176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spacing w:after="17" w:afterAutospacing="0" w:line="233" w:lineRule="auto"/>
              <w:widowControl w:val="off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в границах кадастровых кварталов, </w:t>
            </w:r>
            <w:r>
              <w:rPr>
                <w:highlight w:val="white"/>
              </w:rPr>
            </w:r>
          </w:p>
          <w:p>
            <w:pPr>
              <w:pStyle w:val="958"/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расположенных на территории области»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ind w:left="-250" w:right="-17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65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</w:t>
            </w:r>
            <w:r>
              <w:rPr>
                <w:highlight w:val="white"/>
              </w:rPr>
            </w:r>
          </w:p>
          <w:p>
            <w:pPr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ind w:left="-250" w:right="-17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after="17" w:afterAutospacing="0"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6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58"/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 комплексных кадастровых работ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ind w:left="-250" w:right="-17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ind w:left="-250" w:right="-17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4908,57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754,93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8"/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pStyle w:val="958"/>
              <w:ind w:left="-118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1915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958"/>
              <w:ind w:left="-118" w:right="-107"/>
              <w:jc w:val="center"/>
              <w:spacing w:after="17" w:afterAutospacing="0"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2013,44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3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64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10846,84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3376,84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7470,0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579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1389,04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642,04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747,0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579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9457,8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2734,8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6723,0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579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3.1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Выполнение комплексных кадастровых работ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10846,84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3376,84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7470,0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572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</w:t>
            </w:r>
            <w:r>
              <w:rPr>
                <w:highlight w:val="white"/>
              </w:rPr>
            </w:r>
          </w:p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1389,04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642,04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747,0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9457,8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2734,8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6723,0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8"/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«Внесение в Единый государственный реестр сведений об административных границах области»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3708,47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2140,47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296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2250,0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684,0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4.1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Внесение в Единый государственный реестр сведений о границах муниципальных образований области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2" w:type="dxa"/>
            <w:vMerge w:val="restart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Внесение в Единый государственный реестр сведений о границах населенных пунктов области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875,0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291,0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875,0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291,0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Внесение в Единый государственный реестр сведений о границах территориальных зон области</w:t>
            </w:r>
            <w:r>
              <w:rPr>
                <w:highlight w:val="white"/>
              </w:rPr>
            </w:r>
          </w:p>
          <w:p>
            <w:pPr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2333,47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1749,47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1458,47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875,0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291,0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292,0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58"/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5.1</w:t>
            </w:r>
            <w:r>
              <w:rPr>
                <w:highlight w:val="white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Изготовление цифровых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масштаба 1:2000 территорий области</w:t>
            </w:r>
            <w:r>
              <w:rPr>
                <w:highlight w:val="white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5000,0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35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highlight w:val="white"/>
              </w:rPr>
            </w:r>
          </w:p>
        </w:tc>
      </w:tr>
    </w:tbl>
    <w:p>
      <w:pPr>
        <w:pStyle w:val="958"/>
        <w:ind w:firstLine="540"/>
        <w:jc w:val="both"/>
        <w:rPr>
          <w:rFonts w:ascii="Times New Roman" w:hAnsi="Times New Roman" w:cs="Times New Roman"/>
          <w:sz w:val="28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</w:rPr>
      </w:r>
      <w:r/>
    </w:p>
    <w:p>
      <w:pPr>
        <w:pStyle w:val="958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финансирования государственной программы по направлениям расходов изложена в таблице 6.</w:t>
      </w:r>
      <w:r/>
    </w:p>
    <w:p>
      <w:pPr>
        <w:pStyle w:val="958"/>
        <w:jc w:val="right"/>
        <w:rPr>
          <w:rFonts w:ascii="Times New Roman" w:hAnsi="Times New Roman" w:cs="Times New Roman"/>
          <w:sz w:val="28"/>
        </w:rPr>
        <w:outlineLvl w:val="2"/>
      </w:pPr>
      <w:r>
        <w:rPr>
          <w:rFonts w:ascii="Times New Roman" w:hAnsi="Times New Roman" w:cs="Times New Roman"/>
          <w:sz w:val="28"/>
        </w:rPr>
        <w:t xml:space="preserve">Таблица 6</w:t>
      </w:r>
      <w:r/>
    </w:p>
    <w:p>
      <w:pPr>
        <w:pStyle w:val="9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56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Структура</w:t>
      </w:r>
      <w:r/>
    </w:p>
    <w:p>
      <w:pPr>
        <w:pStyle w:val="956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финансирования государственной программы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земельно-имущественного комплекса области»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2022 – 2026</w:t>
      </w:r>
      <w:r>
        <w:rPr>
          <w:rFonts w:ascii="Times New Roman" w:hAnsi="Times New Roman" w:cs="Times New Roman"/>
          <w:sz w:val="28"/>
        </w:rPr>
        <w:t xml:space="preserve"> годы по направлениям расходов</w:t>
      </w:r>
      <w:r/>
    </w:p>
    <w:p>
      <w:pPr>
        <w:pStyle w:val="9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tbl>
      <w:tblPr>
        <w:tblStyle w:val="94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>
        <w:trPr>
          <w:trHeight w:val="317"/>
        </w:trPr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6"/>
            <w:tcW w:w="7761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5"/>
            <w:tcW w:w="6485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>
          <w:trHeight w:val="77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60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67449,9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13750,7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14522,9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14425,1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14523,3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9457,8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2734,8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6723,0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строительство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/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67449,9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10227,9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13750,7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14522,9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8"/>
              <w:ind w:left="-103" w:right="-114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14425,1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58"/>
              <w:ind w:left="-137" w:right="-172"/>
              <w:jc w:val="center"/>
              <w:spacing w:line="235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14523,3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9457,8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2734,8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7" w:afterAutospacing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6723,0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2250,0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682,0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684,0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200,0».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</w:tr>
    </w:tbl>
    <w:p>
      <w:pPr>
        <w:pStyle w:val="9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rFonts w:ascii="Times New Roman" w:hAnsi="Times New Roman"/>
        <w:sz w:val="28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7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13</w:t>
    </w:r>
    <w:r>
      <w:rPr>
        <w:rFonts w:ascii="Times New Roman" w:hAnsi="Times New Roman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2581094"/>
      <w:docPartObj>
        <w:docPartGallery w:val="Page Numbers (Top of Page)"/>
        <w:docPartUnique w:val="true"/>
      </w:docPartObj>
      <w:rPr/>
    </w:sdtPr>
    <w:sdtContent>
      <w:p>
        <w:pPr>
          <w:pStyle w:val="949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20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137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2079" w:hanging="137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8" w:hanging="137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7" w:hanging="137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6" w:hanging="137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3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3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142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29" w:hanging="14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38" w:hanging="14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47" w:hanging="14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56" w:hanging="142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6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0"/>
  </w:num>
  <w:num w:numId="5">
    <w:abstractNumId w:val="22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14"/>
  </w:num>
  <w:num w:numId="11">
    <w:abstractNumId w:val="23"/>
  </w:num>
  <w:num w:numId="12">
    <w:abstractNumId w:val="13"/>
  </w:num>
  <w:num w:numId="13">
    <w:abstractNumId w:val="21"/>
  </w:num>
  <w:num w:numId="14">
    <w:abstractNumId w:val="2"/>
  </w:num>
  <w:num w:numId="15">
    <w:abstractNumId w:val="31"/>
  </w:num>
  <w:num w:numId="16">
    <w:abstractNumId w:val="30"/>
  </w:num>
  <w:num w:numId="17">
    <w:abstractNumId w:val="11"/>
  </w:num>
  <w:num w:numId="18">
    <w:abstractNumId w:val="3"/>
  </w:num>
  <w:num w:numId="19">
    <w:abstractNumId w:val="17"/>
  </w:num>
  <w:num w:numId="20">
    <w:abstractNumId w:val="4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 w:numId="27">
    <w:abstractNumId w:val="18"/>
  </w:num>
  <w:num w:numId="28">
    <w:abstractNumId w:val="24"/>
  </w:num>
  <w:num w:numId="29">
    <w:abstractNumId w:val="16"/>
  </w:num>
  <w:num w:numId="30">
    <w:abstractNumId w:val="8"/>
  </w:num>
  <w:num w:numId="31">
    <w:abstractNumId w:val="7"/>
  </w:num>
  <w:num w:numId="32">
    <w:abstractNumId w:val="12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781"/>
    <w:link w:val="773"/>
    <w:uiPriority w:val="9"/>
    <w:rPr>
      <w:rFonts w:ascii="Arial" w:hAnsi="Arial" w:eastAsia="Arial" w:cs="Arial"/>
      <w:sz w:val="34"/>
    </w:rPr>
  </w:style>
  <w:style w:type="character" w:styleId="758">
    <w:name w:val="Heading 3 Char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781"/>
    <w:link w:val="794"/>
    <w:uiPriority w:val="10"/>
    <w:rPr>
      <w:sz w:val="48"/>
      <w:szCs w:val="48"/>
    </w:rPr>
  </w:style>
  <w:style w:type="character" w:styleId="766">
    <w:name w:val="Subtitle Char"/>
    <w:basedOn w:val="781"/>
    <w:link w:val="796"/>
    <w:uiPriority w:val="11"/>
    <w:rPr>
      <w:sz w:val="24"/>
      <w:szCs w:val="24"/>
    </w:rPr>
  </w:style>
  <w:style w:type="character" w:styleId="767">
    <w:name w:val="Quote Char"/>
    <w:link w:val="798"/>
    <w:uiPriority w:val="29"/>
    <w:rPr>
      <w:i/>
    </w:rPr>
  </w:style>
  <w:style w:type="character" w:styleId="768">
    <w:name w:val="Intense Quote Char"/>
    <w:link w:val="800"/>
    <w:uiPriority w:val="30"/>
    <w:rPr>
      <w:i/>
    </w:rPr>
  </w:style>
  <w:style w:type="character" w:styleId="769">
    <w:name w:val="Footnote Text Char"/>
    <w:link w:val="931"/>
    <w:uiPriority w:val="99"/>
    <w:rPr>
      <w:sz w:val="18"/>
    </w:rPr>
  </w:style>
  <w:style w:type="character" w:styleId="770">
    <w:name w:val="Endnote Text Char"/>
    <w:link w:val="934"/>
    <w:uiPriority w:val="99"/>
    <w:rPr>
      <w:sz w:val="20"/>
    </w:rPr>
  </w:style>
  <w:style w:type="paragraph" w:styleId="771" w:default="1">
    <w:name w:val="Normal"/>
    <w:qFormat/>
  </w:style>
  <w:style w:type="paragraph" w:styleId="772">
    <w:name w:val="Heading 1"/>
    <w:basedOn w:val="771"/>
    <w:next w:val="771"/>
    <w:link w:val="7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73">
    <w:name w:val="Heading 2"/>
    <w:basedOn w:val="771"/>
    <w:next w:val="771"/>
    <w:link w:val="7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74">
    <w:name w:val="Heading 3"/>
    <w:basedOn w:val="771"/>
    <w:next w:val="771"/>
    <w:link w:val="7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75">
    <w:name w:val="Heading 4"/>
    <w:basedOn w:val="771"/>
    <w:next w:val="771"/>
    <w:link w:val="7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7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7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78">
    <w:name w:val="Heading 7"/>
    <w:basedOn w:val="771"/>
    <w:next w:val="771"/>
    <w:link w:val="7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9">
    <w:name w:val="Heading 8"/>
    <w:basedOn w:val="771"/>
    <w:next w:val="771"/>
    <w:link w:val="7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0">
    <w:name w:val="Heading 9"/>
    <w:basedOn w:val="771"/>
    <w:next w:val="771"/>
    <w:link w:val="7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after="0" w:line="240" w:lineRule="auto"/>
    </w:pPr>
  </w:style>
  <w:style w:type="paragraph" w:styleId="794">
    <w:name w:val="Title"/>
    <w:basedOn w:val="771"/>
    <w:next w:val="771"/>
    <w:link w:val="795"/>
    <w:uiPriority w:val="10"/>
    <w:qFormat/>
    <w:pPr>
      <w:contextualSpacing/>
      <w:spacing w:before="300"/>
    </w:pPr>
    <w:rPr>
      <w:sz w:val="48"/>
      <w:szCs w:val="48"/>
    </w:rPr>
  </w:style>
  <w:style w:type="character" w:styleId="795" w:customStyle="1">
    <w:name w:val="Заголовок Знак"/>
    <w:basedOn w:val="781"/>
    <w:link w:val="794"/>
    <w:uiPriority w:val="10"/>
    <w:rPr>
      <w:sz w:val="48"/>
      <w:szCs w:val="48"/>
    </w:rPr>
  </w:style>
  <w:style w:type="paragraph" w:styleId="796">
    <w:name w:val="Subtitle"/>
    <w:basedOn w:val="771"/>
    <w:next w:val="771"/>
    <w:link w:val="797"/>
    <w:uiPriority w:val="11"/>
    <w:qFormat/>
    <w:pPr>
      <w:spacing w:before="200"/>
    </w:pPr>
    <w:rPr>
      <w:sz w:val="24"/>
      <w:szCs w:val="24"/>
    </w:rPr>
  </w:style>
  <w:style w:type="character" w:styleId="797" w:customStyle="1">
    <w:name w:val="Подзаголовок Знак"/>
    <w:basedOn w:val="781"/>
    <w:link w:val="796"/>
    <w:uiPriority w:val="11"/>
    <w:rPr>
      <w:sz w:val="24"/>
      <w:szCs w:val="24"/>
    </w:rPr>
  </w:style>
  <w:style w:type="paragraph" w:styleId="798">
    <w:name w:val="Quote"/>
    <w:basedOn w:val="771"/>
    <w:next w:val="771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1"/>
    <w:next w:val="771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81"/>
    <w:uiPriority w:val="99"/>
  </w:style>
  <w:style w:type="character" w:styleId="803" w:customStyle="1">
    <w:name w:val="Footer Char"/>
    <w:basedOn w:val="781"/>
    <w:uiPriority w:val="99"/>
  </w:style>
  <w:style w:type="paragraph" w:styleId="804">
    <w:name w:val="Caption"/>
    <w:basedOn w:val="771"/>
    <w:next w:val="7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uiPriority w:val="99"/>
  </w:style>
  <w:style w:type="table" w:styleId="806" w:customStyle="1">
    <w:name w:val="Table Grid Light"/>
    <w:basedOn w:val="7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7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7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5" w:customStyle="1">
    <w:name w:val="Grid Table 4 - Accent 2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Grid Table 4 - Accent 3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7" w:customStyle="1">
    <w:name w:val="Grid Table 4 - Accent 4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Grid Table 4 - Accent 5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7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Grid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Grid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Grid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Grid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Grid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Grid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>
    <w:name w:val="List Table 1 Light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>
    <w:name w:val="List Table 6 Colorful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List Table 6 Colorful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0" w:customStyle="1">
    <w:name w:val="List Table 6 Colorful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List Table 6 Colorful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2" w:customStyle="1">
    <w:name w:val="List Table 6 Colorful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3">
    <w:name w:val="List Table 7 Colorful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4" w:customStyle="1">
    <w:name w:val="List Table 7 Colorful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5" w:customStyle="1">
    <w:name w:val="List Table 7 Colorful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6" w:customStyle="1">
    <w:name w:val="List Table 7 Colorful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7" w:customStyle="1">
    <w:name w:val="List Table 7 Colorful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8" w:customStyle="1">
    <w:name w:val="List Table 7 Colorful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9" w:customStyle="1">
    <w:name w:val="List Table 7 Colorful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10" w:customStyle="1">
    <w:name w:val="Lined - Accent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Lined - Accent 2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Lined - Accent 3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Lined - Accent 4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Lined - Accent 5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Lined - Accent 6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 &amp; Lined - Accent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Bordered &amp; Lined - Accent 2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Bordered &amp; Lined - Accent 3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Bordered &amp; Lined - Accent 4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Bordered &amp; Lined - Accent 5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Bordered &amp; Lined - Accent 6"/>
    <w:basedOn w:val="7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7" w:customStyle="1">
    <w:name w:val="Bordered - Accent 3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8" w:customStyle="1">
    <w:name w:val="Bordered - Accent 4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9" w:customStyle="1">
    <w:name w:val="Bordered - Accent 5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0" w:customStyle="1">
    <w:name w:val="Bordered - Accent 6"/>
    <w:basedOn w:val="7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1">
    <w:name w:val="footnote text"/>
    <w:basedOn w:val="771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basedOn w:val="781"/>
    <w:uiPriority w:val="99"/>
    <w:unhideWhenUsed/>
    <w:rPr>
      <w:vertAlign w:val="superscript"/>
    </w:rPr>
  </w:style>
  <w:style w:type="paragraph" w:styleId="934">
    <w:name w:val="endnote text"/>
    <w:basedOn w:val="771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basedOn w:val="781"/>
    <w:uiPriority w:val="99"/>
    <w:semiHidden/>
    <w:unhideWhenUsed/>
    <w:rPr>
      <w:vertAlign w:val="superscript"/>
    </w:rPr>
  </w:style>
  <w:style w:type="paragraph" w:styleId="937">
    <w:name w:val="toc 1"/>
    <w:basedOn w:val="771"/>
    <w:next w:val="771"/>
    <w:uiPriority w:val="39"/>
    <w:unhideWhenUsed/>
    <w:pPr>
      <w:spacing w:after="57"/>
    </w:pPr>
  </w:style>
  <w:style w:type="paragraph" w:styleId="93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3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4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4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4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4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4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4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71"/>
    <w:next w:val="771"/>
    <w:uiPriority w:val="99"/>
    <w:unhideWhenUsed/>
    <w:pPr>
      <w:spacing w:after="0"/>
    </w:pPr>
  </w:style>
  <w:style w:type="table" w:styleId="948">
    <w:name w:val="Table Grid"/>
    <w:basedOn w:val="782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>
    <w:name w:val="Header"/>
    <w:basedOn w:val="771"/>
    <w:link w:val="9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950" w:customStyle="1">
    <w:name w:val="Верхний колонтитул Знак"/>
    <w:basedOn w:val="781"/>
    <w:link w:val="949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51">
    <w:name w:val="Footer"/>
    <w:basedOn w:val="771"/>
    <w:link w:val="9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781"/>
    <w:link w:val="951"/>
    <w:uiPriority w:val="99"/>
  </w:style>
  <w:style w:type="paragraph" w:styleId="953">
    <w:name w:val="Balloon Text"/>
    <w:basedOn w:val="771"/>
    <w:link w:val="9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basedOn w:val="781"/>
    <w:link w:val="953"/>
    <w:uiPriority w:val="99"/>
    <w:semiHidden/>
    <w:rPr>
      <w:rFonts w:ascii="Tahoma" w:hAnsi="Tahoma" w:cs="Tahoma"/>
      <w:sz w:val="16"/>
      <w:szCs w:val="16"/>
    </w:rPr>
  </w:style>
  <w:style w:type="paragraph" w:styleId="955" w:customStyle="1">
    <w:name w:val="Знак"/>
    <w:basedOn w:val="771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5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57">
    <w:name w:val="List Paragraph"/>
    <w:basedOn w:val="771"/>
    <w:uiPriority w:val="34"/>
    <w:qFormat/>
    <w:pPr>
      <w:contextualSpacing/>
      <w:ind w:left="720"/>
    </w:pPr>
  </w:style>
  <w:style w:type="paragraph" w:styleId="9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959">
    <w:name w:val="Grid Table Light"/>
    <w:basedOn w:val="782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960">
    <w:name w:val="Hyperlink"/>
    <w:basedOn w:val="78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hyperlink" Target="consultantplus://offline/ref=8B0EAE4DC1E42608357C6F1FC174F0FAA79F8A5680C8D468005A638220FF387A397AEE37F8C2E1AB21E42DA6DB96156CD3CA9E45D5D992B10222AErDJA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D9E4-401C-476D-BE71-723FA71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29</cp:revision>
  <dcterms:created xsi:type="dcterms:W3CDTF">2020-02-05T23:27:00Z</dcterms:created>
  <dcterms:modified xsi:type="dcterms:W3CDTF">2023-09-19T02:22:17Z</dcterms:modified>
</cp:coreProperties>
</file>